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F05" w:rsidRDefault="00657DB2">
      <w:pPr>
        <w:spacing w:after="5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Приложение № 1 </w:t>
      </w:r>
    </w:p>
    <w:p w:rsidR="00B55F05" w:rsidRDefault="00657DB2">
      <w:pPr>
        <w:spacing w:after="3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ДЕПАРТАМЕНТ ЛИЦЕНЗИРОВАНИЯ И РЕГИОНАЛЬНОГО </w:t>
      </w:r>
    </w:p>
    <w:p w:rsidR="00B55F05" w:rsidRDefault="00657DB2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ГОСУДАРСТВЕННОГО КОНТРОЛЯ ТОМСКОЙ ОБЛАСТИ </w:t>
      </w:r>
    </w:p>
    <w:p w:rsidR="00B55F05" w:rsidRDefault="00657DB2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</w:t>
      </w:r>
    </w:p>
    <w:p w:rsidR="00B55F05" w:rsidRDefault="00657DB2" w:rsidP="00AF5646">
      <w:pPr>
        <w:spacing w:after="0" w:line="280" w:lineRule="auto"/>
        <w:ind w:left="67" w:firstLine="314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лицензионных требований, соблюдение которых обязательно для соискателей лицензий (лицензиатов) </w:t>
      </w:r>
      <w:r>
        <w:rPr>
          <w:rFonts w:ascii="Times New Roman" w:eastAsia="Times New Roman" w:hAnsi="Times New Roman" w:cs="Times New Roman"/>
          <w:b/>
          <w:sz w:val="16"/>
        </w:rPr>
        <w:t>при получении, переоформлении, продлении срока действия лицензии на розничную продажу алкогольной продукции</w:t>
      </w:r>
    </w:p>
    <w:p w:rsidR="00B55F05" w:rsidRDefault="00657DB2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1026" w:type="dxa"/>
        <w:tblInd w:w="-108" w:type="dxa"/>
        <w:tblCellMar>
          <w:top w:w="6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504"/>
        <w:gridCol w:w="4285"/>
        <w:gridCol w:w="6237"/>
      </w:tblGrid>
      <w:tr w:rsidR="00B55F05">
        <w:trPr>
          <w:trHeight w:val="3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10"/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№ </w:t>
            </w:r>
          </w:p>
          <w:p w:rsidR="00B55F05" w:rsidRDefault="00657DB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п/п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Лицензионные требования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AF5646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Источники получения информации</w:t>
            </w:r>
          </w:p>
        </w:tc>
      </w:tr>
      <w:tr w:rsidR="00B55F05">
        <w:trPr>
          <w:trHeight w:val="194"/>
        </w:trPr>
        <w:tc>
          <w:tcPr>
            <w:tcW w:w="1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B55F05">
        <w:trPr>
          <w:trHeight w:val="3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Наличие у соискателя лицензии статуса юридического лица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Регистрация осуществляется в налоговом органе по месту нахождения юридического лица </w:t>
            </w:r>
          </w:p>
        </w:tc>
      </w:tr>
      <w:tr w:rsidR="00B55F05">
        <w:trPr>
          <w:trHeight w:val="11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Документы, предоставляемые для получения, продления срока или переоформления лицензии должны быть достоверны, не иметь искаженной или неполной информации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 w:line="278" w:lineRule="auto"/>
              <w:ind w:right="3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Тексты представляемых документов должны быть написаны разборчиво, наименования юридических лиц - без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сокращения, фамилии, имена и отчества (при наличии) физических лиц должны быть написаны полностью. </w:t>
            </w:r>
          </w:p>
          <w:p w:rsidR="00B55F05" w:rsidRDefault="00657DB2">
            <w:pPr>
              <w:spacing w:after="0"/>
              <w:ind w:right="3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Документы, имеющие подчистки либо приписки, зачеркнутые слова и иные, не оговоренные в них исправления, документы с серьезными повреждениями, не позволяющи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ми однозначно истолковать их содержание, не подлежат приему. </w:t>
            </w:r>
          </w:p>
        </w:tc>
      </w:tr>
      <w:tr w:rsidR="00B55F05">
        <w:trPr>
          <w:trHeight w:val="497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646" w:rsidRPr="00F663E6" w:rsidRDefault="00AF5646" w:rsidP="00AF5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 xml:space="preserve">Наличие у заявителя не погашенных на дату истечения срока, установленного </w:t>
            </w:r>
            <w:hyperlink r:id="rId5" w:history="1">
              <w:r>
                <w:rPr>
                  <w:rFonts w:ascii="Times New Roman" w:eastAsiaTheme="minorEastAsia" w:hAnsi="Times New Roman" w:cs="Times New Roman"/>
                  <w:color w:val="0000FF"/>
                  <w:sz w:val="16"/>
                  <w:szCs w:val="16"/>
                </w:rPr>
                <w:t>абзацем пятым пункта 5.1</w:t>
              </w:r>
            </w:hyperlink>
            <w:r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 xml:space="preserve"> настоящей статьи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</w:t>
            </w:r>
            <w:hyperlink r:id="rId6" w:history="1">
              <w:r>
                <w:rPr>
                  <w:rFonts w:ascii="Times New Roman" w:eastAsiaTheme="minorEastAsia" w:hAnsi="Times New Roman" w:cs="Times New Roman"/>
                  <w:color w:val="0000FF"/>
                  <w:sz w:val="16"/>
                  <w:szCs w:val="16"/>
                </w:rPr>
                <w:t>использованием</w:t>
              </w:r>
            </w:hyperlink>
            <w:r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 xml:space="preserve"> информационно-телекоммуникационных сетей общего пользования, в том числе информационно-телекоммуникационной сети "Интернет"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является основанием для отказа в выдаче (продлении) лицензии. </w:t>
            </w:r>
          </w:p>
          <w:p w:rsidR="00AF5646" w:rsidRDefault="00AF5646" w:rsidP="00AF5646">
            <w:pPr>
              <w:spacing w:after="0" w:line="244" w:lineRule="auto"/>
              <w:ind w:right="37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F5646" w:rsidRPr="007D0C08" w:rsidRDefault="00AF5646" w:rsidP="00AF5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 xml:space="preserve"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</w:t>
            </w:r>
            <w:hyperlink r:id="rId7" w:history="1">
              <w:r>
                <w:rPr>
                  <w:rFonts w:ascii="Times New Roman" w:eastAsiaTheme="minorEastAsia" w:hAnsi="Times New Roman" w:cs="Times New Roman"/>
                  <w:color w:val="0000FF"/>
                  <w:sz w:val="16"/>
                  <w:szCs w:val="16"/>
                </w:rPr>
                <w:t>абзацем пятым пункта 5.1</w:t>
              </w:r>
            </w:hyperlink>
            <w:r>
              <w:rPr>
                <w:rFonts w:ascii="Times New Roman" w:eastAsiaTheme="minorEastAsia" w:hAnsi="Times New Roman" w:cs="Times New Roman"/>
                <w:color w:val="auto"/>
                <w:sz w:val="16"/>
                <w:szCs w:val="16"/>
              </w:rPr>
              <w:t xml:space="preserve"> настоящей статьи для устранения нарушений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является основанием для отказа в выдаче (продлении) лицензии.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3 п 9 статьи 19 Федерального закона от 22 ноября 1995 года № 171-ФЗ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55F05" w:rsidRDefault="00657DB2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AF5646" w:rsidRDefault="00AF5646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F5646" w:rsidRDefault="00AF5646">
            <w:pPr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55F05" w:rsidRDefault="00657DB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7 п 9 статьи 19 Федерального закона от 22 ноября 1995 года № 171-ФЗ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B55F05">
        <w:trPr>
          <w:trHeight w:val="12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4. 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  <w:ind w:right="3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либо представление заявителем неполного комплекта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документов, предусмотренных для выдачи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лицензии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является основанием для отказа в выдаче </w:t>
            </w:r>
            <w:r w:rsidR="00AF5646" w:rsidRPr="00AF5646"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="00AF5646">
              <w:rPr>
                <w:rFonts w:ascii="Times New Roman" w:eastAsia="Times New Roman" w:hAnsi="Times New Roman" w:cs="Times New Roman"/>
                <w:sz w:val="16"/>
              </w:rPr>
              <w:t>продлении</w:t>
            </w:r>
            <w:r w:rsidR="00AF5646" w:rsidRPr="00AF5646">
              <w:rPr>
                <w:rFonts w:ascii="Times New Roman" w:eastAsia="Times New Roman" w:hAnsi="Times New Roman" w:cs="Times New Roman"/>
                <w:sz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лицензии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6 п 9 статьи 19 Федерального закона от 22 ноября 1995 года № 171-ФЗ </w:t>
            </w:r>
          </w:p>
        </w:tc>
      </w:tr>
      <w:tr w:rsidR="00B55F05">
        <w:trPr>
          <w:trHeight w:val="25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Представление в установленный срок заявления о переоформлении лицензии. </w:t>
            </w:r>
          </w:p>
          <w:p w:rsidR="00B55F05" w:rsidRDefault="00657DB2">
            <w:pPr>
              <w:spacing w:after="0" w:line="241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В случае изменения наименования лицензиата (без его реорганизации), изменения места его нахождения или указанных в лицензии мест нахождения его обособленных подразделений, окончания срока аренды производственного или складского помещения, стационарного тор</w:t>
            </w:r>
            <w:r>
              <w:rPr>
                <w:rFonts w:ascii="Times New Roman" w:eastAsia="Times New Roman" w:hAnsi="Times New Roman" w:cs="Times New Roman"/>
                <w:sz w:val="16"/>
              </w:rPr>
              <w:t>гового объекта, используемого для осуществления лицензируемого вида деятельности, изменения иных указанных в лицензии сведений, переоформление лицензии осуществляется на основании заявления лицензиата с приложением документов, подтверждающих указанные изме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нения.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9" w:line="257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Заявление о переоформлении лицензии подается в лицензирующий орган в течение 30 дней со дня возникновения обстоятельств, вызвавших необходимость переоформления лицензии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пункт  13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статьи 19 Федерального закона от 22 ноября 1995 года  № 171-ФЗ) </w:t>
            </w:r>
          </w:p>
        </w:tc>
      </w:tr>
      <w:tr w:rsidR="00B55F05">
        <w:trPr>
          <w:trHeight w:val="11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6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  <w:ind w:right="3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Минимальный размер оплаченного уставного капитала (уставного фонда) для организаций (за исключением организаций общественного питания), осуществляющих розничную продажу алкогольной продукции в Томской области, устанавливается в размере 20000 рублей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 w:line="266" w:lineRule="auto"/>
              <w:ind w:right="3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Требование не распространяется на организации, осуществляющие розничную продажу алкогольной продукции только при оказании услуг общественного питания (Закон Томской области от 9 апреля 2012 года №</w:t>
            </w:r>
            <w:hyperlink r:id="rId8">
              <w:r>
                <w:rPr>
                  <w:rFonts w:ascii="Times New Roman" w:eastAsia="Times New Roman" w:hAnsi="Times New Roman" w:cs="Times New Roman"/>
                  <w:sz w:val="16"/>
                </w:rPr>
                <w:t xml:space="preserve"> 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sz w:val="16"/>
                </w:rPr>
                <w:t>35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sz w:val="16"/>
                </w:rPr>
                <w:t>-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sz w:val="16"/>
                </w:rPr>
                <w:t>ОЗ</w:t>
              </w:r>
            </w:hyperlink>
            <w:hyperlink r:id="rId12">
              <w:r>
                <w:rPr>
                  <w:rFonts w:ascii="Times New Roman" w:eastAsia="Times New Roman" w:hAnsi="Times New Roman" w:cs="Times New Roman"/>
                  <w:sz w:val="16"/>
                </w:rPr>
                <w:t xml:space="preserve"> </w:t>
              </w:r>
            </w:hyperlink>
            <w:hyperlink r:id="rId13">
              <w:r>
                <w:rPr>
                  <w:rFonts w:ascii="Times New Roman" w:eastAsia="Times New Roman" w:hAnsi="Times New Roman" w:cs="Times New Roman"/>
                  <w:sz w:val="16"/>
                </w:rPr>
                <w:t>«</w:t>
              </w:r>
            </w:hyperlink>
            <w:r>
              <w:rPr>
                <w:rFonts w:ascii="Times New Roman" w:eastAsia="Times New Roman" w:hAnsi="Times New Roman" w:cs="Times New Roman"/>
                <w:sz w:val="16"/>
              </w:rPr>
              <w:t>О минимальном размере оплаченного уставного капитала (уставного фонда) для организаций, осуществляющих розничную п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родажу алкогольной продукции на территории Томской области») 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55F05">
        <w:trPr>
          <w:trHeight w:val="5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  <w:ind w:right="3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Представление лицензирующему органу возможности провести обследование организации на соответствие лицензионным требованиям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55F05">
        <w:trPr>
          <w:trHeight w:val="1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AF564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Требования к магазинам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55F05">
        <w:trPr>
          <w:trHeight w:val="22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AF564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657DB2">
              <w:rPr>
                <w:rFonts w:ascii="Times New Roman" w:eastAsia="Times New Roman" w:hAnsi="Times New Roman" w:cs="Times New Roman"/>
                <w:sz w:val="16"/>
              </w:rPr>
              <w:t xml:space="preserve">.1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  <w:ind w:right="3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Организации, осуществляющие розничную продажу алкогольной продукции (за исключением пива, пивных напитков, сидра,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пуаре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медовухи) в городских населенных пунктах, используют для таких целей находящиеся в собственности, хозяйственном ведении, оперативном уп</w:t>
            </w:r>
            <w:r>
              <w:rPr>
                <w:rFonts w:ascii="Times New Roman" w:eastAsia="Times New Roman" w:hAnsi="Times New Roman" w:cs="Times New Roman"/>
                <w:sz w:val="16"/>
              </w:rPr>
              <w:t>равлении или в аренде, срок которой определен договором и составляет один год и более, складские помещения (при наличии) и стационарные торговые объекты общей площадью не менее 50 квадратных метров по каждому месту нахождения обособленного подразделения, в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котором осуществляется розничная продажа алкогольной продукции.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 w:line="276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Договор аренды здания или сооружения, заключенный на срок не менее года, подлежит государственной регистрации и считается заключенным с момента такой регистрации (ст. 26 651 ГК).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55F05">
        <w:trPr>
          <w:trHeight w:val="22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AF564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657DB2">
              <w:rPr>
                <w:rFonts w:ascii="Times New Roman" w:eastAsia="Times New Roman" w:hAnsi="Times New Roman" w:cs="Times New Roman"/>
                <w:sz w:val="16"/>
              </w:rPr>
              <w:t xml:space="preserve">.2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  <w:ind w:right="39" w:firstLine="5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Организации, осуществляющие розничную продажу алкогольной продукции (за исключением пива, пивных напитков, сидра,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пуаре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медовухи) в сельских населенных пунктах, используют для таких целей находящиеся в собственности, хозяйственном ведении, оперативном упр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авлении или в аренде, срок которой определен договором и составляет один год и более, складские помещения (при наличии) и стационарные торговые объекты общей площадью не менее 25 квадратных метров по каждому месту нахождения обособленного подразделения, в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котором осуществляется розничная продажа алкогольной продукции.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 w:line="256" w:lineRule="auto"/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Договор аренды здания или сооружения, заключенный на срок не менее года, подлежит государственной регистрации и считается заключенным с момента такой регистрации (ст. 26 651 ГК). </w:t>
            </w:r>
          </w:p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55F05">
        <w:trPr>
          <w:trHeight w:val="129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AF564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  <w:r w:rsidR="00657DB2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Подключение к ЕГАИС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 w:line="245" w:lineRule="auto"/>
              <w:ind w:right="3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Пункт 2 статьи 8 Федерального закона от 22.11.1995 № 171-ФЗ  - </w:t>
            </w:r>
            <w:r>
              <w:rPr>
                <w:rFonts w:ascii="Times New Roman" w:eastAsia="Times New Roman" w:hAnsi="Times New Roman" w:cs="Times New Roman"/>
                <w:sz w:val="16"/>
              </w:rPr>
              <w:t>оборудование организации для учета объема оборота этилового спирта, алкогольной и спиртосодержащей продукции должно быть оснащено техническими средствами фиксации и передачи информации об объеме производства и оборота этилового спирта, алкогольной и спирто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содержащей продукции в единую государственную автоматизированную информационную систему (ЕГАИС). </w:t>
            </w:r>
          </w:p>
          <w:p w:rsidR="00B55F05" w:rsidRDefault="00657DB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B55F05">
        <w:trPr>
          <w:trHeight w:val="92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AF5646">
              <w:rPr>
                <w:rFonts w:ascii="Times New Roman" w:eastAsia="Times New Roman" w:hAnsi="Times New Roman" w:cs="Times New Roman"/>
                <w:sz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Наличие контрольно-кассовой техники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  <w:ind w:right="3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Пункт 10 статьи 16 Федерального закона от 22.11.1995 № 171-ФЗ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6"/>
              </w:rPr>
              <w:t>розничная продажа алкогольной продукции и розничн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ая продажа алкогольной продукции при оказании услуг общественного питания осуществляются с применением контрольно-кассовой техники в соответствии с законодательством Российской Федерации о применении контрольно-кассовой техники </w:t>
            </w:r>
          </w:p>
        </w:tc>
      </w:tr>
      <w:tr w:rsidR="00B55F05">
        <w:trPr>
          <w:trHeight w:val="51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AF5646">
              <w:rPr>
                <w:rFonts w:ascii="Times New Roman" w:eastAsia="Times New Roman" w:hAnsi="Times New Roman" w:cs="Times New Roman"/>
                <w:sz w:val="16"/>
              </w:rPr>
              <w:t>1</w:t>
            </w:r>
            <w:bookmarkStart w:id="0" w:name="_GoBack"/>
            <w:bookmarkEnd w:id="0"/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Оплата государственной пошлины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F05" w:rsidRDefault="00657DB2">
            <w:pPr>
              <w:spacing w:after="0"/>
            </w:pPr>
            <w:r>
              <w:rPr>
                <w:rFonts w:ascii="PT Astra Serif" w:eastAsia="PT Astra Serif" w:hAnsi="PT Astra Serif" w:cs="PT Astra Serif"/>
                <w:sz w:val="16"/>
              </w:rPr>
              <w:t xml:space="preserve">За предоставление государственной услуги взимается государственная пошлина. </w:t>
            </w:r>
          </w:p>
          <w:p w:rsidR="00B55F05" w:rsidRDefault="00657DB2">
            <w:pPr>
              <w:spacing w:after="0" w:line="239" w:lineRule="auto"/>
              <w:ind w:right="42"/>
              <w:jc w:val="both"/>
            </w:pPr>
            <w:r>
              <w:rPr>
                <w:rFonts w:ascii="PT Astra Serif" w:eastAsia="PT Astra Serif" w:hAnsi="PT Astra Serif" w:cs="PT Astra Serif"/>
                <w:sz w:val="16"/>
              </w:rPr>
              <w:t>Размеры и основания взимания государственной пошлины за предоставление лицензии, переоформление лицензии, продление срока действия лицензии устанав</w:t>
            </w:r>
            <w:r>
              <w:rPr>
                <w:rFonts w:ascii="PT Astra Serif" w:eastAsia="PT Astra Serif" w:hAnsi="PT Astra Serif" w:cs="PT Astra Serif"/>
                <w:sz w:val="16"/>
              </w:rPr>
              <w:t xml:space="preserve">ливаются законодательством Российской Федерации о налогах и сборах. Согласно п. 94 ст. 333.33 Налогового кодекса Российской Федерации государственная пошлина уплачивается в следующих размерах: </w:t>
            </w:r>
          </w:p>
          <w:p w:rsidR="00B55F05" w:rsidRDefault="00657DB2">
            <w:pPr>
              <w:numPr>
                <w:ilvl w:val="0"/>
                <w:numId w:val="4"/>
              </w:numPr>
              <w:spacing w:after="0" w:line="240" w:lineRule="auto"/>
              <w:ind w:right="39"/>
              <w:jc w:val="both"/>
            </w:pPr>
            <w:r>
              <w:rPr>
                <w:rFonts w:ascii="PT Astra Serif" w:eastAsia="PT Astra Serif" w:hAnsi="PT Astra Serif" w:cs="PT Astra Serif"/>
                <w:sz w:val="16"/>
              </w:rPr>
              <w:t>за выдачу лицензии - в размере 65 000 рублей за каждый год сро</w:t>
            </w:r>
            <w:r>
              <w:rPr>
                <w:rFonts w:ascii="PT Astra Serif" w:eastAsia="PT Astra Serif" w:hAnsi="PT Astra Serif" w:cs="PT Astra Serif"/>
                <w:sz w:val="16"/>
              </w:rPr>
              <w:t xml:space="preserve">ка действия лицензии; </w:t>
            </w:r>
          </w:p>
          <w:p w:rsidR="00B55F05" w:rsidRDefault="00657DB2">
            <w:pPr>
              <w:numPr>
                <w:ilvl w:val="0"/>
                <w:numId w:val="4"/>
              </w:numPr>
              <w:spacing w:after="0" w:line="239" w:lineRule="auto"/>
              <w:ind w:right="39"/>
              <w:jc w:val="both"/>
            </w:pPr>
            <w:r>
              <w:rPr>
                <w:rFonts w:ascii="PT Astra Serif" w:eastAsia="PT Astra Serif" w:hAnsi="PT Astra Serif" w:cs="PT Astra Serif"/>
                <w:sz w:val="16"/>
              </w:rPr>
              <w:t xml:space="preserve">за переоформление лицензии при реорганизации юридического лица 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</w:t>
            </w:r>
            <w:r>
              <w:rPr>
                <w:rFonts w:ascii="PT Astra Serif" w:eastAsia="PT Astra Serif" w:hAnsi="PT Astra Serif" w:cs="PT Astra Serif"/>
                <w:sz w:val="16"/>
              </w:rPr>
              <w:t xml:space="preserve">участвующего юридического лица лицензии на розничную продажу алкогольной продукции) - в размере 65 000 рублей за каждый год срока действия лицензии; </w:t>
            </w:r>
          </w:p>
          <w:p w:rsidR="00B55F05" w:rsidRDefault="00657DB2">
            <w:pPr>
              <w:numPr>
                <w:ilvl w:val="0"/>
                <w:numId w:val="4"/>
              </w:numPr>
              <w:spacing w:after="1" w:line="239" w:lineRule="auto"/>
              <w:ind w:right="39"/>
              <w:jc w:val="both"/>
            </w:pPr>
            <w:r>
              <w:rPr>
                <w:rFonts w:ascii="PT Astra Serif" w:eastAsia="PT Astra Serif" w:hAnsi="PT Astra Serif" w:cs="PT Astra Serif"/>
                <w:sz w:val="16"/>
              </w:rPr>
              <w:t xml:space="preserve">за переоформление </w:t>
            </w:r>
            <w:r>
              <w:rPr>
                <w:rFonts w:ascii="PT Astra Serif" w:eastAsia="PT Astra Serif" w:hAnsi="PT Astra Serif" w:cs="PT Astra Serif"/>
                <w:sz w:val="16"/>
              </w:rPr>
              <w:t>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розничную продажу алкогольной продукции - 3500</w:t>
            </w:r>
            <w:r>
              <w:rPr>
                <w:rFonts w:ascii="PT Astra Serif" w:eastAsia="PT Astra Serif" w:hAnsi="PT Astra Serif" w:cs="PT Astra Serif"/>
                <w:sz w:val="16"/>
              </w:rPr>
              <w:t xml:space="preserve"> рублей; </w:t>
            </w:r>
          </w:p>
          <w:p w:rsidR="00B55F05" w:rsidRDefault="00657DB2">
            <w:pPr>
              <w:numPr>
                <w:ilvl w:val="0"/>
                <w:numId w:val="4"/>
              </w:numPr>
              <w:spacing w:after="1" w:line="239" w:lineRule="auto"/>
              <w:ind w:right="39"/>
              <w:jc w:val="both"/>
            </w:pPr>
            <w:r>
              <w:rPr>
                <w:rFonts w:ascii="PT Astra Serif" w:eastAsia="PT Astra Serif" w:hAnsi="PT Astra Serif" w:cs="PT Astra Serif"/>
                <w:sz w:val="16"/>
              </w:rPr>
              <w:t>за переоформление лицензии в связи с изменением наименования юридического лица (без его реорганизации), его местонахождения или указанного в лицензии места осуществления деятельности либо иных указываемых в лицензии данных, а также в связи с утра</w:t>
            </w:r>
            <w:r>
              <w:rPr>
                <w:rFonts w:ascii="PT Astra Serif" w:eastAsia="PT Astra Serif" w:hAnsi="PT Astra Serif" w:cs="PT Astra Serif"/>
                <w:sz w:val="16"/>
              </w:rPr>
              <w:t xml:space="preserve">той лицензии - в размере 3500 рублей; </w:t>
            </w:r>
          </w:p>
          <w:p w:rsidR="00B55F05" w:rsidRDefault="00657DB2">
            <w:pPr>
              <w:numPr>
                <w:ilvl w:val="0"/>
                <w:numId w:val="4"/>
              </w:numPr>
              <w:spacing w:after="2" w:line="237" w:lineRule="auto"/>
              <w:ind w:right="39"/>
              <w:jc w:val="both"/>
            </w:pPr>
            <w:r>
              <w:rPr>
                <w:rFonts w:ascii="PT Astra Serif" w:eastAsia="PT Astra Serif" w:hAnsi="PT Astra Serif" w:cs="PT Astra Serif"/>
                <w:sz w:val="16"/>
              </w:rPr>
              <w:t xml:space="preserve">за продление срока действия лицензии - в размере 65000 рублей за каждый год срока действия лицензии. </w:t>
            </w:r>
          </w:p>
          <w:p w:rsidR="00B55F05" w:rsidRDefault="00657DB2">
            <w:pPr>
              <w:spacing w:after="0"/>
              <w:ind w:right="40"/>
              <w:jc w:val="both"/>
            </w:pPr>
            <w:r>
              <w:rPr>
                <w:rFonts w:ascii="PT Astra Serif" w:eastAsia="PT Astra Serif" w:hAnsi="PT Astra Serif" w:cs="PT Astra Serif"/>
                <w:sz w:val="16"/>
              </w:rPr>
              <w:t>Государственная пошлина оплачивается до подачи заявления о выдаче (переоформлении, продлении) лицензии. Квитанции о</w:t>
            </w:r>
            <w:r>
              <w:rPr>
                <w:rFonts w:ascii="PT Astra Serif" w:eastAsia="PT Astra Serif" w:hAnsi="PT Astra Serif" w:cs="PT Astra Serif"/>
                <w:sz w:val="16"/>
              </w:rPr>
              <w:t xml:space="preserve">т физических лиц не принимаются. Государственная пошлина должна быть оплачена только юридическим лицом, подавшим заявление на выдачу, продление или переоформление лицензии. </w:t>
            </w:r>
          </w:p>
        </w:tc>
      </w:tr>
    </w:tbl>
    <w:p w:rsidR="00B55F05" w:rsidRDefault="00657DB2">
      <w:pPr>
        <w:spacing w:after="1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55F05" w:rsidRDefault="00657DB2">
      <w:pPr>
        <w:spacing w:after="0"/>
        <w:ind w:left="10" w:right="2186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Департамента лицензирования и регионального государственного контроля Томской области                                                                     </w:t>
      </w:r>
    </w:p>
    <w:p w:rsidR="00B55F05" w:rsidRDefault="00657DB2">
      <w:pPr>
        <w:spacing w:after="0"/>
        <w:ind w:left="10" w:right="1406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Адрес: 634024, г. Томск, ул. Белинского, 15а; электронная почта: </w:t>
      </w:r>
      <w:r>
        <w:rPr>
          <w:rFonts w:ascii="Times New Roman" w:eastAsia="Times New Roman" w:hAnsi="Times New Roman" w:cs="Times New Roman"/>
          <w:color w:val="0000FF"/>
          <w:sz w:val="16"/>
          <w:u w:val="single" w:color="0000FF"/>
        </w:rPr>
        <w:t>info@palata.tomsk.ru</w:t>
      </w:r>
      <w:r>
        <w:rPr>
          <w:rFonts w:ascii="Times New Roman" w:eastAsia="Times New Roman" w:hAnsi="Times New Roman" w:cs="Times New Roman"/>
          <w:sz w:val="16"/>
        </w:rPr>
        <w:t xml:space="preserve">; сайт </w:t>
      </w:r>
      <w:hyperlink r:id="rId14">
        <w:r>
          <w:rPr>
            <w:rFonts w:ascii="Times New Roman" w:eastAsia="Times New Roman" w:hAnsi="Times New Roman" w:cs="Times New Roman"/>
            <w:sz w:val="16"/>
          </w:rPr>
          <w:t xml:space="preserve">- </w:t>
        </w:r>
      </w:hyperlink>
      <w:hyperlink r:id="rId15">
        <w:r>
          <w:rPr>
            <w:rFonts w:ascii="Times New Roman" w:eastAsia="Times New Roman" w:hAnsi="Times New Roman" w:cs="Times New Roman"/>
            <w:color w:val="0000FF"/>
            <w:sz w:val="16"/>
            <w:u w:val="single" w:color="0000FF"/>
          </w:rPr>
          <w:t>https://dlk.tomsk.gov.ru</w:t>
        </w:r>
      </w:hyperlink>
      <w:hyperlink r:id="rId16">
        <w:r>
          <w:rPr>
            <w:rFonts w:ascii="Times New Roman" w:eastAsia="Times New Roman" w:hAnsi="Times New Roman" w:cs="Times New Roman"/>
            <w:sz w:val="16"/>
          </w:rPr>
          <w:t xml:space="preserve">  </w:t>
        </w:r>
      </w:hyperlink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</w:t>
      </w:r>
    </w:p>
    <w:p w:rsidR="00B55F05" w:rsidRDefault="00657DB2">
      <w:pPr>
        <w:spacing w:after="0"/>
        <w:ind w:left="4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55F05" w:rsidRDefault="00657DB2">
      <w:pPr>
        <w:spacing w:after="0" w:line="261" w:lineRule="auto"/>
        <w:ind w:left="3390" w:firstLine="178"/>
      </w:pPr>
      <w:r>
        <w:rPr>
          <w:rFonts w:ascii="Times New Roman" w:eastAsia="Times New Roman" w:hAnsi="Times New Roman" w:cs="Times New Roman"/>
          <w:sz w:val="16"/>
        </w:rPr>
        <w:lastRenderedPageBreak/>
        <w:t>Комитет лицензионно-разрешительной деятельно</w:t>
      </w:r>
      <w:r>
        <w:rPr>
          <w:rFonts w:ascii="Times New Roman" w:eastAsia="Times New Roman" w:hAnsi="Times New Roman" w:cs="Times New Roman"/>
          <w:sz w:val="16"/>
        </w:rPr>
        <w:t xml:space="preserve">сти                                                                                                        телефоны для справок: (3822) 52-71-03, 52-89-70, 53-25-89 </w:t>
      </w:r>
    </w:p>
    <w:sectPr w:rsidR="00B55F05">
      <w:pgSz w:w="11904" w:h="16838"/>
      <w:pgMar w:top="571" w:right="564" w:bottom="576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5D81"/>
    <w:multiLevelType w:val="hybridMultilevel"/>
    <w:tmpl w:val="B314A190"/>
    <w:lvl w:ilvl="0" w:tplc="99C4690E">
      <w:start w:val="1"/>
      <w:numFmt w:val="decimal"/>
      <w:lvlText w:val="%1)"/>
      <w:lvlJc w:val="left"/>
      <w:pPr>
        <w:ind w:left="0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5CF122">
      <w:start w:val="1"/>
      <w:numFmt w:val="lowerLetter"/>
      <w:lvlText w:val="%2"/>
      <w:lvlJc w:val="left"/>
      <w:pPr>
        <w:ind w:left="1188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B226A4">
      <w:start w:val="1"/>
      <w:numFmt w:val="lowerRoman"/>
      <w:lvlText w:val="%3"/>
      <w:lvlJc w:val="left"/>
      <w:pPr>
        <w:ind w:left="1908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0ADEB0">
      <w:start w:val="1"/>
      <w:numFmt w:val="decimal"/>
      <w:lvlText w:val="%4"/>
      <w:lvlJc w:val="left"/>
      <w:pPr>
        <w:ind w:left="2628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FA9298">
      <w:start w:val="1"/>
      <w:numFmt w:val="lowerLetter"/>
      <w:lvlText w:val="%5"/>
      <w:lvlJc w:val="left"/>
      <w:pPr>
        <w:ind w:left="3348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F81DAE">
      <w:start w:val="1"/>
      <w:numFmt w:val="lowerRoman"/>
      <w:lvlText w:val="%6"/>
      <w:lvlJc w:val="left"/>
      <w:pPr>
        <w:ind w:left="4068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FAA398">
      <w:start w:val="1"/>
      <w:numFmt w:val="decimal"/>
      <w:lvlText w:val="%7"/>
      <w:lvlJc w:val="left"/>
      <w:pPr>
        <w:ind w:left="4788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F44A3A8">
      <w:start w:val="1"/>
      <w:numFmt w:val="lowerLetter"/>
      <w:lvlText w:val="%8"/>
      <w:lvlJc w:val="left"/>
      <w:pPr>
        <w:ind w:left="5508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B2C645A">
      <w:start w:val="1"/>
      <w:numFmt w:val="lowerRoman"/>
      <w:lvlText w:val="%9"/>
      <w:lvlJc w:val="left"/>
      <w:pPr>
        <w:ind w:left="6228"/>
      </w:pPr>
      <w:rPr>
        <w:rFonts w:ascii="PT Astra Serif" w:eastAsia="PT Astra Serif" w:hAnsi="PT Astra Serif" w:cs="PT Astra Serif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ED4653"/>
    <w:multiLevelType w:val="hybridMultilevel"/>
    <w:tmpl w:val="217015BC"/>
    <w:lvl w:ilvl="0" w:tplc="363620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A0019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F4BF7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AA78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EA6F3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1C14B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66303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24679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CA632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987BD1"/>
    <w:multiLevelType w:val="hybridMultilevel"/>
    <w:tmpl w:val="8D2419A6"/>
    <w:lvl w:ilvl="0" w:tplc="389E4F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400E2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12E1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34C9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0CAF0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5276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E05E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02DC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00FD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186461"/>
    <w:multiLevelType w:val="hybridMultilevel"/>
    <w:tmpl w:val="6B285F7E"/>
    <w:lvl w:ilvl="0" w:tplc="CDDE7DE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30E9B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006A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8A78B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1A33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DED3B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1E56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0A5B2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BAE00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05"/>
    <w:rsid w:val="00657DB2"/>
    <w:rsid w:val="00AF5646"/>
    <w:rsid w:val="00B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4DCD"/>
  <w15:docId w15:val="{B83CCB66-56CD-4D2A-8007-CF96FDAA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.140.24.195/upload/docs/35%D0%BE%D0%B7.doc" TargetMode="External"/><Relationship Id="rId13" Type="http://schemas.openxmlformats.org/officeDocument/2006/relationships/hyperlink" Target="http://78.140.24.195/upload/docs/35%D0%BE%D0%B7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9331&amp;dst=1458" TargetMode="External"/><Relationship Id="rId12" Type="http://schemas.openxmlformats.org/officeDocument/2006/relationships/hyperlink" Target="http://78.140.24.195/upload/docs/35%D0%BE%D0%B7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lk.tomsk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136266&amp;dst=100006" TargetMode="External"/><Relationship Id="rId11" Type="http://schemas.openxmlformats.org/officeDocument/2006/relationships/hyperlink" Target="http://78.140.24.195/upload/docs/35%D0%BE%D0%B7.doc" TargetMode="External"/><Relationship Id="rId5" Type="http://schemas.openxmlformats.org/officeDocument/2006/relationships/hyperlink" Target="https://login.consultant.ru/link/?req=doc&amp;base=RZB&amp;n=479331&amp;dst=1458" TargetMode="External"/><Relationship Id="rId15" Type="http://schemas.openxmlformats.org/officeDocument/2006/relationships/hyperlink" Target="https://dlk.tomsk.gov.ru/" TargetMode="External"/><Relationship Id="rId10" Type="http://schemas.openxmlformats.org/officeDocument/2006/relationships/hyperlink" Target="http://78.140.24.195/upload/docs/35%D0%BE%D0%B7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78.140.24.195/upload/docs/35%D0%BE%D0%B7.doc" TargetMode="External"/><Relationship Id="rId14" Type="http://schemas.openxmlformats.org/officeDocument/2006/relationships/hyperlink" Target="https://dlk.toms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лицензионных требований</vt:lpstr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лицензионных требований</dc:title>
  <dc:subject/>
  <dc:creator>shishanova</dc:creator>
  <cp:keywords/>
  <cp:lastModifiedBy>Андреева Юлия Викторовна</cp:lastModifiedBy>
  <cp:revision>2</cp:revision>
  <dcterms:created xsi:type="dcterms:W3CDTF">2024-07-09T09:05:00Z</dcterms:created>
  <dcterms:modified xsi:type="dcterms:W3CDTF">2024-07-09T09:05:00Z</dcterms:modified>
</cp:coreProperties>
</file>